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«Современный русский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39.5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государственном и иностранном (ых) языках</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«Современный русский язык»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516.95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теле - и радиовещания"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печати"</w:t>
            </w:r>
          </w:p>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Работа редактора на радио и телевидении</w:t>
            </w:r>
          </w:p>
          <w:p>
            <w:pPr>
              <w:jc w:val="center"/>
              <w:spacing w:after="0" w:line="240" w:lineRule="auto"/>
              <w:rPr>
                <w:sz w:val="22"/>
                <w:szCs w:val="22"/>
              </w:rPr>
            </w:pPr>
            <w:r>
              <w:rPr>
                <w:rFonts w:ascii="Times New Roman" w:hAnsi="Times New Roman" w:cs="Times New Roman"/>
                <w:color w:val="#000000"/>
                <w:sz w:val="22"/>
                <w:szCs w:val="22"/>
              </w:rPr>
              <w:t> Редактирование периодических печатных изданий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Ведущий современного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Мастерство ведущего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127</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75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09.75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2024-2025_ФГОС3++2024_Бак-ЗФО-СДО(Олигоф)(24)_plx_Современный русский язык</dc:title>
  <dc:creator>FastReport.NET</dc:creator>
</cp:coreProperties>
</file>